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4FB8A" w14:textId="5C1FE3C2" w:rsidR="0052240D" w:rsidRPr="00F7105B" w:rsidRDefault="0052240D" w:rsidP="0052240D">
      <w:pPr>
        <w:pStyle w:val="BasicParagraph"/>
        <w:tabs>
          <w:tab w:val="left" w:pos="284"/>
          <w:tab w:val="left" w:pos="6096"/>
        </w:tabs>
        <w:spacing w:line="240" w:lineRule="auto"/>
        <w:ind w:right="-914"/>
        <w:rPr>
          <w:rFonts w:ascii="Calibri" w:hAnsi="Calibri" w:cs="Chalkboard"/>
        </w:rPr>
      </w:pPr>
      <w:r>
        <w:rPr>
          <w:rFonts w:ascii="Calibri" w:hAnsi="Calibri" w:cs="Chalkboard"/>
          <w:sz w:val="22"/>
          <w:szCs w:val="22"/>
        </w:rPr>
        <w:tab/>
      </w:r>
      <w:r w:rsidRPr="00F7105B">
        <w:rPr>
          <w:rFonts w:ascii="Times New Roman" w:hAnsi="Times New Roman" w:cs="Chalkboard"/>
        </w:rPr>
        <w:tab/>
      </w:r>
      <w:r w:rsidR="00585B61">
        <w:rPr>
          <w:rFonts w:ascii="Calibri" w:hAnsi="Calibri" w:cs="Chalkboard"/>
          <w:b/>
          <w:bCs/>
        </w:rPr>
        <w:t>IIR / EIR</w:t>
      </w:r>
    </w:p>
    <w:p w14:paraId="49A2C343" w14:textId="699F6743" w:rsidR="0052240D" w:rsidRPr="00585B61" w:rsidRDefault="0052240D" w:rsidP="0052240D">
      <w:pPr>
        <w:pStyle w:val="BasicParagraph"/>
        <w:tabs>
          <w:tab w:val="left" w:pos="284"/>
          <w:tab w:val="left" w:pos="6096"/>
        </w:tabs>
        <w:spacing w:line="240" w:lineRule="auto"/>
        <w:ind w:right="-7"/>
        <w:rPr>
          <w:rFonts w:ascii="Calibri" w:hAnsi="Calibri" w:cs="Chalkboard"/>
          <w:i/>
        </w:rPr>
      </w:pPr>
      <w:r w:rsidRPr="00F7105B">
        <w:rPr>
          <w:rFonts w:ascii="Times New Roman" w:hAnsi="Times New Roman" w:cs="Chalkboard"/>
        </w:rPr>
        <w:tab/>
      </w:r>
      <w:r w:rsidRPr="00F7105B">
        <w:rPr>
          <w:rFonts w:ascii="Times New Roman" w:hAnsi="Times New Roman" w:cs="Chalkboard"/>
        </w:rPr>
        <w:tab/>
      </w:r>
      <w:r w:rsidR="00585B61" w:rsidRPr="00585B61">
        <w:rPr>
          <w:rFonts w:ascii="Calibri" w:hAnsi="Calibri" w:cs="Chalkboard"/>
          <w:i/>
        </w:rPr>
        <w:t>Takács Gábor</w:t>
      </w:r>
    </w:p>
    <w:p w14:paraId="0429AAEC" w14:textId="4E75EC37" w:rsidR="0052240D" w:rsidRPr="004C35CE" w:rsidRDefault="0052240D" w:rsidP="0052240D">
      <w:pPr>
        <w:pStyle w:val="BasicParagraph"/>
        <w:tabs>
          <w:tab w:val="left" w:pos="284"/>
          <w:tab w:val="left" w:pos="6096"/>
        </w:tabs>
        <w:spacing w:line="240" w:lineRule="auto"/>
        <w:ind w:right="-7"/>
        <w:rPr>
          <w:rFonts w:ascii="Calibri" w:hAnsi="Calibri" w:cs="Chalkboard"/>
          <w:b/>
          <w:bCs/>
        </w:rPr>
      </w:pPr>
      <w:r w:rsidRPr="00F7105B">
        <w:rPr>
          <w:rFonts w:ascii="Times New Roman" w:hAnsi="Times New Roman" w:cs="Chalkboard"/>
        </w:rPr>
        <w:tab/>
      </w:r>
      <w:r w:rsidRPr="00F7105B">
        <w:rPr>
          <w:rFonts w:ascii="Times New Roman" w:hAnsi="Times New Roman" w:cs="Chalkboard"/>
        </w:rPr>
        <w:tab/>
      </w:r>
      <w:r w:rsidR="00585B61" w:rsidRPr="00585B61">
        <w:rPr>
          <w:rFonts w:ascii="Calibri" w:hAnsi="Calibri" w:cs="Chalkboard"/>
          <w:bCs/>
        </w:rPr>
        <w:t>EIR csoportvezető</w:t>
      </w:r>
    </w:p>
    <w:p w14:paraId="4D8EE172" w14:textId="09DDEA3E" w:rsidR="0052240D" w:rsidRPr="00F7105B" w:rsidRDefault="0052240D" w:rsidP="0052240D">
      <w:pPr>
        <w:pStyle w:val="BasicParagraph"/>
        <w:tabs>
          <w:tab w:val="left" w:pos="284"/>
          <w:tab w:val="left" w:pos="6096"/>
        </w:tabs>
        <w:spacing w:line="240" w:lineRule="auto"/>
        <w:ind w:right="-7"/>
        <w:rPr>
          <w:rFonts w:ascii="Times New Roman" w:hAnsi="Times New Roman" w:cs="Chalkboard"/>
        </w:rPr>
      </w:pPr>
      <w:r w:rsidRPr="00F7105B">
        <w:rPr>
          <w:rFonts w:ascii="Times New Roman" w:hAnsi="Times New Roman" w:cs="Chalkboard"/>
        </w:rPr>
        <w:tab/>
      </w:r>
      <w:r w:rsidRPr="00F7105B">
        <w:rPr>
          <w:rFonts w:ascii="Times New Roman" w:hAnsi="Times New Roman" w:cs="Chalkboard"/>
        </w:rPr>
        <w:tab/>
      </w:r>
    </w:p>
    <w:p w14:paraId="7D6BB7B7" w14:textId="62324600" w:rsidR="0052240D" w:rsidRPr="00F7105B" w:rsidRDefault="0052240D" w:rsidP="0052240D">
      <w:pPr>
        <w:pStyle w:val="BasicParagraph"/>
        <w:tabs>
          <w:tab w:val="left" w:pos="284"/>
          <w:tab w:val="left" w:pos="6096"/>
        </w:tabs>
        <w:spacing w:line="240" w:lineRule="auto"/>
        <w:ind w:right="-7"/>
        <w:rPr>
          <w:rFonts w:ascii="Calibri" w:hAnsi="Calibri" w:cs="Chalkboard"/>
        </w:rPr>
      </w:pPr>
      <w:r w:rsidRPr="00F7105B">
        <w:rPr>
          <w:rFonts w:ascii="Times New Roman" w:hAnsi="Times New Roman" w:cs="Chalkboard"/>
        </w:rPr>
        <w:tab/>
      </w:r>
      <w:r w:rsidRPr="00F7105B">
        <w:rPr>
          <w:rFonts w:ascii="Calibri" w:hAnsi="Calibri" w:cs="Chalkboard"/>
        </w:rPr>
        <w:t xml:space="preserve"> </w:t>
      </w:r>
      <w:r w:rsidRPr="00F7105B">
        <w:rPr>
          <w:rFonts w:ascii="Times New Roman" w:hAnsi="Times New Roman" w:cs="Chalkboard"/>
        </w:rPr>
        <w:tab/>
      </w:r>
      <w:r w:rsidR="00585B61">
        <w:rPr>
          <w:rFonts w:ascii="Calibri" w:hAnsi="Calibri" w:cs="Chalkboard"/>
        </w:rPr>
        <w:t>e-mail: takacsga@mfgt.hu</w:t>
      </w:r>
    </w:p>
    <w:p w14:paraId="2873D780" w14:textId="3A959894" w:rsidR="0052240D" w:rsidRPr="00F7105B" w:rsidRDefault="0052240D" w:rsidP="0052240D">
      <w:pPr>
        <w:pStyle w:val="BasicParagraph"/>
        <w:tabs>
          <w:tab w:val="left" w:pos="284"/>
          <w:tab w:val="left" w:pos="6096"/>
        </w:tabs>
        <w:spacing w:line="240" w:lineRule="auto"/>
        <w:ind w:right="-7"/>
        <w:rPr>
          <w:rFonts w:ascii="Times New Roman" w:hAnsi="Times New Roman" w:cs="Chalkboard"/>
        </w:rPr>
      </w:pPr>
      <w:r w:rsidRPr="00F7105B">
        <w:rPr>
          <w:rFonts w:ascii="Times New Roman" w:hAnsi="Times New Roman" w:cs="Chalkboard"/>
        </w:rPr>
        <w:tab/>
      </w:r>
      <w:r w:rsidRPr="00F7105B">
        <w:rPr>
          <w:rFonts w:ascii="Times New Roman" w:hAnsi="Times New Roman" w:cs="Chalkboard"/>
        </w:rPr>
        <w:tab/>
      </w:r>
      <w:r w:rsidR="006F37A2">
        <w:rPr>
          <w:rFonts w:ascii="Calibri" w:hAnsi="Calibri" w:cs="Chalkboard"/>
        </w:rPr>
        <w:t>Budapest</w:t>
      </w:r>
      <w:r w:rsidRPr="00F7105B">
        <w:rPr>
          <w:rFonts w:ascii="Calibri" w:hAnsi="Calibri" w:cs="Chalkboard"/>
        </w:rPr>
        <w:t xml:space="preserve">, </w:t>
      </w:r>
      <w:r w:rsidR="00603B36">
        <w:rPr>
          <w:rFonts w:ascii="Calibri" w:hAnsi="Calibri" w:cs="Chalkboard"/>
        </w:rPr>
        <w:t>2023.10.20</w:t>
      </w:r>
      <w:r w:rsidR="00585B61">
        <w:rPr>
          <w:rFonts w:ascii="Calibri" w:hAnsi="Calibri" w:cs="Chalkboard"/>
        </w:rPr>
        <w:t>.</w:t>
      </w:r>
    </w:p>
    <w:p w14:paraId="7F1F1240" w14:textId="77777777" w:rsidR="0052240D" w:rsidRPr="00585B61" w:rsidRDefault="0052240D" w:rsidP="0052240D">
      <w:pPr>
        <w:pStyle w:val="BasicParagraph"/>
        <w:tabs>
          <w:tab w:val="left" w:pos="5103"/>
        </w:tabs>
        <w:spacing w:line="240" w:lineRule="auto"/>
        <w:ind w:right="-7"/>
        <w:rPr>
          <w:rFonts w:ascii="Calibri" w:hAnsi="Calibri" w:cs="Chalkboard"/>
        </w:rPr>
      </w:pPr>
      <w:bookmarkStart w:id="0" w:name="_GoBack"/>
      <w:bookmarkEnd w:id="0"/>
    </w:p>
    <w:p w14:paraId="660C2FC3" w14:textId="77777777" w:rsidR="0052240D" w:rsidRPr="00585B61" w:rsidRDefault="0052240D" w:rsidP="0052240D">
      <w:pPr>
        <w:pStyle w:val="BasicParagraph"/>
        <w:tabs>
          <w:tab w:val="left" w:pos="5103"/>
        </w:tabs>
        <w:spacing w:line="240" w:lineRule="auto"/>
        <w:ind w:right="-7"/>
        <w:rPr>
          <w:rFonts w:ascii="Calibri" w:hAnsi="Calibri" w:cs="Chalkboard"/>
        </w:rPr>
      </w:pPr>
    </w:p>
    <w:p w14:paraId="7C913842" w14:textId="77777777" w:rsidR="0052240D" w:rsidRPr="00F7105B" w:rsidRDefault="0052240D" w:rsidP="0052240D">
      <w:pPr>
        <w:pStyle w:val="BasicParagraph"/>
        <w:tabs>
          <w:tab w:val="left" w:pos="5103"/>
        </w:tabs>
        <w:spacing w:line="240" w:lineRule="auto"/>
        <w:ind w:right="-7"/>
        <w:rPr>
          <w:rFonts w:ascii="Calibri" w:hAnsi="Calibri" w:cs="Chalkboard"/>
        </w:rPr>
      </w:pPr>
    </w:p>
    <w:p w14:paraId="6A2835CF" w14:textId="4DA58A62" w:rsidR="0052240D" w:rsidRPr="00585B61" w:rsidRDefault="00585B61" w:rsidP="0052240D">
      <w:pPr>
        <w:pStyle w:val="BasicParagraph"/>
        <w:tabs>
          <w:tab w:val="left" w:pos="5103"/>
        </w:tabs>
        <w:spacing w:line="240" w:lineRule="auto"/>
        <w:ind w:right="-7"/>
        <w:rPr>
          <w:rFonts w:ascii="Calibri" w:hAnsi="Calibri" w:cs="Chalkboard"/>
          <w:b/>
        </w:rPr>
      </w:pPr>
      <w:r w:rsidRPr="00585B61">
        <w:rPr>
          <w:rFonts w:ascii="Calibri" w:hAnsi="Calibri" w:cs="Chalkboard"/>
          <w:b/>
        </w:rPr>
        <w:t>Energiagazdálkodá</w:t>
      </w:r>
      <w:r w:rsidR="00603B36">
        <w:rPr>
          <w:rFonts w:ascii="Calibri" w:hAnsi="Calibri" w:cs="Chalkboard"/>
          <w:b/>
        </w:rPr>
        <w:t xml:space="preserve">si Irányítási Rendszer / </w:t>
      </w:r>
      <w:r w:rsidR="00E447A3">
        <w:rPr>
          <w:rFonts w:ascii="Calibri" w:hAnsi="Calibri" w:cs="Chalkboard"/>
          <w:b/>
        </w:rPr>
        <w:t>Vállalati</w:t>
      </w:r>
      <w:r w:rsidR="00603B36">
        <w:rPr>
          <w:rFonts w:ascii="Calibri" w:hAnsi="Calibri" w:cs="Chalkboard"/>
          <w:b/>
        </w:rPr>
        <w:t xml:space="preserve"> riport – 2023.</w:t>
      </w:r>
    </w:p>
    <w:p w14:paraId="61A865FA" w14:textId="1367534A" w:rsidR="00DA78FC" w:rsidRDefault="00DA78FC" w:rsidP="00585B61">
      <w:pPr>
        <w:pStyle w:val="BasicParagraph"/>
        <w:tabs>
          <w:tab w:val="left" w:pos="5103"/>
        </w:tabs>
        <w:spacing w:line="240" w:lineRule="auto"/>
        <w:ind w:right="-7"/>
        <w:rPr>
          <w:rFonts w:ascii="Calibri" w:hAnsi="Calibri" w:cs="Chalkboard"/>
        </w:rPr>
      </w:pPr>
    </w:p>
    <w:p w14:paraId="11716BD1" w14:textId="2998B2F2" w:rsidR="00603B36" w:rsidRPr="00CB22EA" w:rsidRDefault="00603B36" w:rsidP="00603B36">
      <w:pPr>
        <w:spacing w:line="360" w:lineRule="auto"/>
        <w:ind w:firstLine="284"/>
        <w:jc w:val="both"/>
        <w:rPr>
          <w:rFonts w:asciiTheme="minorHAnsi" w:hAnsiTheme="minorHAnsi" w:cstheme="minorHAnsi"/>
        </w:rPr>
      </w:pPr>
      <w:r w:rsidRPr="00CB22EA">
        <w:rPr>
          <w:rFonts w:asciiTheme="minorHAnsi" w:hAnsiTheme="minorHAnsi" w:cstheme="minorHAnsi"/>
        </w:rPr>
        <w:t>A Magyar Földgáztároló Zrt. (MFGT) az Integrált Irányítási Rendszer (IIR) keretén belül működtetett Energiagazdálkodási Rendszer (EIR) vonatkozásában 2023-ban is törekedett a kapcsolódó szabványban (MSZ EN ISO 50001:2019) előírtaknak megfelelően üzemelni. Az energiahatékonyság növelésével és a</w:t>
      </w:r>
      <w:r>
        <w:rPr>
          <w:rFonts w:asciiTheme="minorHAnsi" w:hAnsiTheme="minorHAnsi" w:cstheme="minorHAnsi"/>
        </w:rPr>
        <w:t xml:space="preserve"> kötődő</w:t>
      </w:r>
      <w:r w:rsidRPr="00CB22EA">
        <w:rPr>
          <w:rFonts w:asciiTheme="minorHAnsi" w:hAnsiTheme="minorHAnsi" w:cstheme="minorHAnsi"/>
        </w:rPr>
        <w:t>, potenciális energetikai kockázatok felülvizsgálatát követően végrehajtott intézkedésekkel sikerült pozitív eredményeket felmutatnia – figyelembe véve az integrált (pl. környezetirányítás) működési struktúrát is.</w:t>
      </w:r>
    </w:p>
    <w:p w14:paraId="4741F197" w14:textId="3CEA41A1" w:rsidR="00603B36" w:rsidRPr="00CB22EA" w:rsidRDefault="00603B36" w:rsidP="00761A88">
      <w:pPr>
        <w:spacing w:after="100" w:line="360" w:lineRule="auto"/>
        <w:ind w:firstLine="284"/>
        <w:jc w:val="both"/>
        <w:rPr>
          <w:rFonts w:asciiTheme="minorHAnsi" w:hAnsiTheme="minorHAnsi" w:cstheme="minorHAnsi"/>
        </w:rPr>
      </w:pPr>
      <w:r w:rsidRPr="00603B36">
        <w:rPr>
          <w:rFonts w:asciiTheme="minorHAnsi" w:hAnsiTheme="minorHAnsi" w:cstheme="minorHAnsi"/>
        </w:rPr>
        <w:t>A fő energiateljesítménymutatók</w:t>
      </w:r>
      <w:r w:rsidRPr="00CB22EA">
        <w:rPr>
          <w:rFonts w:asciiTheme="minorHAnsi" w:hAnsiTheme="minorHAnsi" w:cstheme="minorHAnsi"/>
        </w:rPr>
        <w:t xml:space="preserve"> (ETM) </w:t>
      </w:r>
      <w:r w:rsidRPr="00603B36">
        <w:rPr>
          <w:rFonts w:asciiTheme="minorHAnsi" w:hAnsiTheme="minorHAnsi" w:cstheme="minorHAnsi"/>
        </w:rPr>
        <w:t>tekintetében továbbra is az egységnyi betárolandó földgázmennyiséghez szükséges primer energiakapacitás (gáz és villamos energia</w:t>
      </w:r>
      <w:r w:rsidR="00C84346">
        <w:rPr>
          <w:rFonts w:asciiTheme="minorHAnsi" w:hAnsiTheme="minorHAnsi" w:cstheme="minorHAnsi"/>
        </w:rPr>
        <w:t xml:space="preserve"> együttese</w:t>
      </w:r>
      <w:r w:rsidRPr="00603B36">
        <w:rPr>
          <w:rFonts w:asciiTheme="minorHAnsi" w:hAnsiTheme="minorHAnsi" w:cstheme="minorHAnsi"/>
        </w:rPr>
        <w:t xml:space="preserve">) a </w:t>
      </w:r>
      <w:r>
        <w:rPr>
          <w:rFonts w:asciiTheme="minorHAnsi" w:hAnsiTheme="minorHAnsi" w:cstheme="minorHAnsi"/>
        </w:rPr>
        <w:t>mérvadó. A kapcsolódó</w:t>
      </w:r>
      <w:r w:rsidRPr="00603B36">
        <w:rPr>
          <w:rFonts w:asciiTheme="minorHAnsi" w:hAnsiTheme="minorHAnsi" w:cstheme="minorHAnsi"/>
        </w:rPr>
        <w:t xml:space="preserve"> információkat az 1. sz. táblázat tartalmazza.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906"/>
        <w:gridCol w:w="906"/>
        <w:gridCol w:w="906"/>
        <w:gridCol w:w="906"/>
        <w:gridCol w:w="906"/>
        <w:gridCol w:w="907"/>
        <w:gridCol w:w="906"/>
        <w:gridCol w:w="907"/>
      </w:tblGrid>
      <w:tr w:rsidR="00603B36" w:rsidRPr="00CB22EA" w14:paraId="069D217E" w14:textId="77777777" w:rsidTr="00603B36">
        <w:trPr>
          <w:trHeight w:val="340"/>
          <w:jc w:val="center"/>
        </w:trPr>
        <w:tc>
          <w:tcPr>
            <w:tcW w:w="1812" w:type="dxa"/>
          </w:tcPr>
          <w:p w14:paraId="47DDFE54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603B36">
              <w:rPr>
                <w:rFonts w:asciiTheme="minorHAnsi" w:hAnsiTheme="minorHAnsi" w:cstheme="minorHAnsi"/>
                <w:i/>
              </w:rPr>
              <w:t xml:space="preserve">2021. / </w:t>
            </w:r>
            <w:r w:rsidRPr="00C84346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</w:rPr>
              <w:t>2022.</w:t>
            </w:r>
          </w:p>
        </w:tc>
        <w:tc>
          <w:tcPr>
            <w:tcW w:w="1812" w:type="dxa"/>
            <w:gridSpan w:val="2"/>
          </w:tcPr>
          <w:p w14:paraId="2A72B981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603B36">
              <w:rPr>
                <w:rFonts w:asciiTheme="minorHAnsi" w:hAnsiTheme="minorHAnsi" w:cstheme="minorHAnsi"/>
                <w:i/>
              </w:rPr>
              <w:t>Hajdúszoboszló</w:t>
            </w:r>
          </w:p>
        </w:tc>
        <w:tc>
          <w:tcPr>
            <w:tcW w:w="1812" w:type="dxa"/>
            <w:gridSpan w:val="2"/>
          </w:tcPr>
          <w:p w14:paraId="0E434D4D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603B36">
              <w:rPr>
                <w:rFonts w:asciiTheme="minorHAnsi" w:hAnsiTheme="minorHAnsi" w:cstheme="minorHAnsi"/>
                <w:i/>
              </w:rPr>
              <w:t>Kardoskút</w:t>
            </w:r>
          </w:p>
        </w:tc>
        <w:tc>
          <w:tcPr>
            <w:tcW w:w="1813" w:type="dxa"/>
            <w:gridSpan w:val="2"/>
          </w:tcPr>
          <w:p w14:paraId="46F948BB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603B36">
              <w:rPr>
                <w:rFonts w:asciiTheme="minorHAnsi" w:hAnsiTheme="minorHAnsi" w:cstheme="minorHAnsi"/>
                <w:i/>
              </w:rPr>
              <w:t>Pusztaederics</w:t>
            </w:r>
          </w:p>
        </w:tc>
        <w:tc>
          <w:tcPr>
            <w:tcW w:w="1813" w:type="dxa"/>
            <w:gridSpan w:val="2"/>
          </w:tcPr>
          <w:p w14:paraId="64680BE4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603B36">
              <w:rPr>
                <w:rFonts w:asciiTheme="minorHAnsi" w:hAnsiTheme="minorHAnsi" w:cstheme="minorHAnsi"/>
                <w:i/>
              </w:rPr>
              <w:t>Zsana</w:t>
            </w:r>
          </w:p>
        </w:tc>
      </w:tr>
      <w:tr w:rsidR="00603B36" w:rsidRPr="00CB22EA" w14:paraId="700AFDE0" w14:textId="77777777" w:rsidTr="00C84346">
        <w:trPr>
          <w:trHeight w:val="340"/>
          <w:jc w:val="center"/>
        </w:trPr>
        <w:tc>
          <w:tcPr>
            <w:tcW w:w="1812" w:type="dxa"/>
          </w:tcPr>
          <w:p w14:paraId="551A9552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V</w:t>
            </w:r>
            <w:r w:rsidRPr="00603B36">
              <w:rPr>
                <w:rFonts w:asciiTheme="minorHAnsi" w:hAnsiTheme="minorHAnsi" w:cstheme="minorHAnsi"/>
                <w:vertAlign w:val="subscript"/>
              </w:rPr>
              <w:t>ny</w:t>
            </w:r>
            <w:r w:rsidRPr="00603B36">
              <w:rPr>
                <w:rFonts w:asciiTheme="minorHAnsi" w:hAnsiTheme="minorHAnsi" w:cstheme="minorHAnsi"/>
              </w:rPr>
              <w:t xml:space="preserve"> [Mm</w:t>
            </w:r>
            <w:r w:rsidRPr="00C84346">
              <w:rPr>
                <w:rFonts w:asciiTheme="minorHAnsi" w:hAnsiTheme="minorHAnsi" w:cstheme="minorHAnsi"/>
                <w:vertAlign w:val="superscript"/>
              </w:rPr>
              <w:t>3</w:t>
            </w:r>
            <w:r w:rsidRPr="00603B36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906" w:type="dxa"/>
          </w:tcPr>
          <w:p w14:paraId="77DF4D9E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B22EA">
              <w:rPr>
                <w:rFonts w:asciiTheme="minorHAnsi" w:hAnsiTheme="minorHAnsi" w:cstheme="minorHAnsi"/>
              </w:rPr>
              <w:t>581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4CB196A4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B22EA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906" w:type="dxa"/>
          </w:tcPr>
          <w:p w14:paraId="53ECEF50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43A5B2D1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06" w:type="dxa"/>
          </w:tcPr>
          <w:p w14:paraId="46C9E533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4A6AB73C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06" w:type="dxa"/>
          </w:tcPr>
          <w:p w14:paraId="7B044D3D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837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6F141232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145</w:t>
            </w:r>
          </w:p>
        </w:tc>
      </w:tr>
      <w:tr w:rsidR="00603B36" w:rsidRPr="00CB22EA" w14:paraId="0B246579" w14:textId="77777777" w:rsidTr="00761A88">
        <w:trPr>
          <w:trHeight w:val="439"/>
          <w:jc w:val="center"/>
        </w:trPr>
        <w:tc>
          <w:tcPr>
            <w:tcW w:w="1812" w:type="dxa"/>
          </w:tcPr>
          <w:p w14:paraId="70BA6200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V</w:t>
            </w:r>
            <w:r w:rsidRPr="00603B36">
              <w:rPr>
                <w:rFonts w:asciiTheme="minorHAnsi" w:hAnsiTheme="minorHAnsi" w:cstheme="minorHAnsi"/>
                <w:vertAlign w:val="subscript"/>
              </w:rPr>
              <w:t>zá</w:t>
            </w:r>
            <w:r w:rsidRPr="00603B36">
              <w:rPr>
                <w:rFonts w:asciiTheme="minorHAnsi" w:hAnsiTheme="minorHAnsi" w:cstheme="minorHAnsi"/>
              </w:rPr>
              <w:t xml:space="preserve"> [Mm</w:t>
            </w:r>
            <w:r w:rsidRPr="00C84346">
              <w:rPr>
                <w:rFonts w:asciiTheme="minorHAnsi" w:hAnsiTheme="minorHAnsi" w:cstheme="minorHAnsi"/>
                <w:vertAlign w:val="superscript"/>
              </w:rPr>
              <w:t>3</w:t>
            </w:r>
            <w:r w:rsidRPr="00603B36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906" w:type="dxa"/>
          </w:tcPr>
          <w:p w14:paraId="394E7BEF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B22EA">
              <w:rPr>
                <w:rFonts w:asciiTheme="minorHAnsi" w:hAnsiTheme="minorHAnsi" w:cstheme="minorHAnsi"/>
              </w:rPr>
              <w:t>1.189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12F542E3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B22EA">
              <w:rPr>
                <w:rFonts w:asciiTheme="minorHAnsi" w:hAnsiTheme="minorHAnsi" w:cstheme="minorHAnsi"/>
              </w:rPr>
              <w:t>1.115</w:t>
            </w:r>
          </w:p>
        </w:tc>
        <w:tc>
          <w:tcPr>
            <w:tcW w:w="906" w:type="dxa"/>
          </w:tcPr>
          <w:p w14:paraId="6613C7BE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230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1FE2B697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231</w:t>
            </w:r>
          </w:p>
        </w:tc>
        <w:tc>
          <w:tcPr>
            <w:tcW w:w="906" w:type="dxa"/>
          </w:tcPr>
          <w:p w14:paraId="57838E47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239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6CF6284F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297</w:t>
            </w:r>
          </w:p>
        </w:tc>
        <w:tc>
          <w:tcPr>
            <w:tcW w:w="906" w:type="dxa"/>
          </w:tcPr>
          <w:p w14:paraId="3A755BD5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1.613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4350BB0B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1.825</w:t>
            </w:r>
          </w:p>
        </w:tc>
      </w:tr>
      <w:tr w:rsidR="00603B36" w:rsidRPr="00CB22EA" w14:paraId="7B69A91E" w14:textId="77777777" w:rsidTr="00761A88">
        <w:trPr>
          <w:trHeight w:val="439"/>
          <w:jc w:val="center"/>
        </w:trPr>
        <w:tc>
          <w:tcPr>
            <w:tcW w:w="1812" w:type="dxa"/>
          </w:tcPr>
          <w:p w14:paraId="0E558995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V</w:t>
            </w:r>
            <w:r w:rsidRPr="00603B36">
              <w:rPr>
                <w:rFonts w:asciiTheme="minorHAnsi" w:hAnsiTheme="minorHAnsi" w:cstheme="minorHAnsi"/>
                <w:vertAlign w:val="subscript"/>
              </w:rPr>
              <w:t>be</w:t>
            </w:r>
            <w:r w:rsidRPr="00603B36">
              <w:rPr>
                <w:rFonts w:asciiTheme="minorHAnsi" w:hAnsiTheme="minorHAnsi" w:cstheme="minorHAnsi"/>
              </w:rPr>
              <w:t xml:space="preserve"> [Mm</w:t>
            </w:r>
            <w:r w:rsidRPr="00C84346">
              <w:rPr>
                <w:rFonts w:asciiTheme="minorHAnsi" w:hAnsiTheme="minorHAnsi" w:cstheme="minorHAnsi"/>
                <w:vertAlign w:val="superscript"/>
              </w:rPr>
              <w:t>3</w:t>
            </w:r>
            <w:r w:rsidRPr="00603B36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906" w:type="dxa"/>
          </w:tcPr>
          <w:p w14:paraId="028BDC92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B22EA">
              <w:rPr>
                <w:rFonts w:asciiTheme="minorHAnsi" w:hAnsiTheme="minorHAnsi" w:cstheme="minorHAnsi"/>
              </w:rPr>
              <w:t>608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4A996C6F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B22EA">
              <w:rPr>
                <w:rFonts w:asciiTheme="minorHAnsi" w:hAnsiTheme="minorHAnsi" w:cstheme="minorHAnsi"/>
              </w:rPr>
              <w:t>1.084</w:t>
            </w:r>
          </w:p>
        </w:tc>
        <w:tc>
          <w:tcPr>
            <w:tcW w:w="906" w:type="dxa"/>
          </w:tcPr>
          <w:p w14:paraId="7AE1BC49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410124D2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206</w:t>
            </w:r>
          </w:p>
        </w:tc>
        <w:tc>
          <w:tcPr>
            <w:tcW w:w="906" w:type="dxa"/>
          </w:tcPr>
          <w:p w14:paraId="63EE6022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139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4AEADC01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277</w:t>
            </w:r>
          </w:p>
        </w:tc>
        <w:tc>
          <w:tcPr>
            <w:tcW w:w="906" w:type="dxa"/>
          </w:tcPr>
          <w:p w14:paraId="2F070288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776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3AF8F206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1.680</w:t>
            </w:r>
          </w:p>
        </w:tc>
      </w:tr>
      <w:tr w:rsidR="00603B36" w:rsidRPr="00CB22EA" w14:paraId="1A88ABC5" w14:textId="77777777" w:rsidTr="00761A88">
        <w:trPr>
          <w:trHeight w:val="440"/>
          <w:jc w:val="center"/>
        </w:trPr>
        <w:tc>
          <w:tcPr>
            <w:tcW w:w="1812" w:type="dxa"/>
          </w:tcPr>
          <w:p w14:paraId="1F89D50B" w14:textId="5A9E265F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E</w:t>
            </w:r>
            <w:r w:rsidRPr="00603B36">
              <w:rPr>
                <w:rFonts w:asciiTheme="minorHAnsi" w:hAnsiTheme="minorHAnsi" w:cstheme="minorHAnsi"/>
                <w:vertAlign w:val="subscript"/>
              </w:rPr>
              <w:t>fg</w:t>
            </w:r>
            <w:r w:rsidR="00C84346">
              <w:rPr>
                <w:rFonts w:asciiTheme="minorHAnsi" w:hAnsiTheme="minorHAnsi" w:cstheme="minorHAnsi"/>
              </w:rPr>
              <w:t xml:space="preserve"> [MW</w:t>
            </w:r>
            <w:r w:rsidRPr="00603B36">
              <w:rPr>
                <w:rFonts w:asciiTheme="minorHAnsi" w:hAnsiTheme="minorHAnsi" w:cstheme="minorHAnsi"/>
              </w:rPr>
              <w:t>h]</w:t>
            </w:r>
          </w:p>
        </w:tc>
        <w:tc>
          <w:tcPr>
            <w:tcW w:w="906" w:type="dxa"/>
          </w:tcPr>
          <w:p w14:paraId="05BEC544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B22EA">
              <w:rPr>
                <w:rFonts w:asciiTheme="minorHAnsi" w:hAnsiTheme="minorHAnsi" w:cstheme="minorHAnsi"/>
              </w:rPr>
              <w:t>37.302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02A27303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B22EA">
              <w:rPr>
                <w:rFonts w:asciiTheme="minorHAnsi" w:hAnsiTheme="minorHAnsi" w:cstheme="minorHAnsi"/>
              </w:rPr>
              <w:t>71.499</w:t>
            </w:r>
          </w:p>
        </w:tc>
        <w:tc>
          <w:tcPr>
            <w:tcW w:w="906" w:type="dxa"/>
          </w:tcPr>
          <w:p w14:paraId="2D22DB22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15.700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2D3D852A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10.312</w:t>
            </w:r>
          </w:p>
        </w:tc>
        <w:tc>
          <w:tcPr>
            <w:tcW w:w="906" w:type="dxa"/>
          </w:tcPr>
          <w:p w14:paraId="2C2A769F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1.210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74158DD9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898</w:t>
            </w:r>
          </w:p>
        </w:tc>
        <w:tc>
          <w:tcPr>
            <w:tcW w:w="906" w:type="dxa"/>
          </w:tcPr>
          <w:p w14:paraId="79EFA0BC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212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78F64381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432</w:t>
            </w:r>
          </w:p>
        </w:tc>
      </w:tr>
      <w:tr w:rsidR="00603B36" w:rsidRPr="00CB22EA" w14:paraId="58C509AA" w14:textId="77777777" w:rsidTr="00761A88">
        <w:trPr>
          <w:trHeight w:val="439"/>
          <w:jc w:val="center"/>
        </w:trPr>
        <w:tc>
          <w:tcPr>
            <w:tcW w:w="1812" w:type="dxa"/>
          </w:tcPr>
          <w:p w14:paraId="08325A72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E</w:t>
            </w:r>
            <w:r w:rsidRPr="00603B36">
              <w:rPr>
                <w:rFonts w:asciiTheme="minorHAnsi" w:hAnsiTheme="minorHAnsi" w:cstheme="minorHAnsi"/>
                <w:vertAlign w:val="subscript"/>
              </w:rPr>
              <w:t>vi</w:t>
            </w:r>
            <w:r w:rsidRPr="00603B36">
              <w:rPr>
                <w:rFonts w:asciiTheme="minorHAnsi" w:hAnsiTheme="minorHAnsi" w:cstheme="minorHAnsi"/>
              </w:rPr>
              <w:t xml:space="preserve"> [MWh]</w:t>
            </w:r>
          </w:p>
        </w:tc>
        <w:tc>
          <w:tcPr>
            <w:tcW w:w="906" w:type="dxa"/>
          </w:tcPr>
          <w:p w14:paraId="0EC46B88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B22EA">
              <w:rPr>
                <w:rFonts w:asciiTheme="minorHAnsi" w:hAnsiTheme="minorHAnsi" w:cstheme="minorHAnsi"/>
              </w:rPr>
              <w:t>1.732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205E0904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B22EA">
              <w:rPr>
                <w:rFonts w:asciiTheme="minorHAnsi" w:hAnsiTheme="minorHAnsi" w:cstheme="minorHAnsi"/>
              </w:rPr>
              <w:t>2.982</w:t>
            </w:r>
          </w:p>
        </w:tc>
        <w:tc>
          <w:tcPr>
            <w:tcW w:w="906" w:type="dxa"/>
          </w:tcPr>
          <w:p w14:paraId="528C924D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566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14:paraId="75D5887C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7.016</w:t>
            </w:r>
          </w:p>
        </w:tc>
        <w:tc>
          <w:tcPr>
            <w:tcW w:w="906" w:type="dxa"/>
          </w:tcPr>
          <w:p w14:paraId="1BE1E832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10.126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4495966A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19.298</w:t>
            </w:r>
          </w:p>
        </w:tc>
        <w:tc>
          <w:tcPr>
            <w:tcW w:w="906" w:type="dxa"/>
          </w:tcPr>
          <w:p w14:paraId="39B82897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32.983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68F9F8A7" w14:textId="77777777" w:rsidR="00603B36" w:rsidRPr="00CB22EA" w:rsidRDefault="00603B36" w:rsidP="005576D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03B36">
              <w:rPr>
                <w:rFonts w:asciiTheme="minorHAnsi" w:hAnsiTheme="minorHAnsi" w:cstheme="minorHAnsi"/>
              </w:rPr>
              <w:t>72.658</w:t>
            </w:r>
          </w:p>
        </w:tc>
      </w:tr>
      <w:tr w:rsidR="00603B36" w:rsidRPr="00603B36" w14:paraId="496F3C90" w14:textId="77777777" w:rsidTr="00761A88">
        <w:trPr>
          <w:trHeight w:val="440"/>
          <w:jc w:val="center"/>
        </w:trPr>
        <w:tc>
          <w:tcPr>
            <w:tcW w:w="1812" w:type="dxa"/>
          </w:tcPr>
          <w:p w14:paraId="1A10A749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603B36">
              <w:rPr>
                <w:rFonts w:asciiTheme="minorHAnsi" w:hAnsiTheme="minorHAnsi" w:cstheme="minorHAnsi"/>
                <w:b/>
              </w:rPr>
              <w:t>η [kWh/Em3]</w:t>
            </w:r>
          </w:p>
        </w:tc>
        <w:tc>
          <w:tcPr>
            <w:tcW w:w="906" w:type="dxa"/>
            <w:shd w:val="clear" w:color="auto" w:fill="00B050"/>
          </w:tcPr>
          <w:p w14:paraId="0BEE5DE9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03B36">
              <w:rPr>
                <w:rFonts w:asciiTheme="minorHAnsi" w:hAnsiTheme="minorHAnsi" w:cstheme="minorHAnsi"/>
                <w:b/>
                <w:color w:val="FFFFFF" w:themeColor="background1"/>
              </w:rPr>
              <w:t>64,2</w:t>
            </w:r>
          </w:p>
        </w:tc>
        <w:tc>
          <w:tcPr>
            <w:tcW w:w="906" w:type="dxa"/>
            <w:shd w:val="clear" w:color="auto" w:fill="FF0000"/>
          </w:tcPr>
          <w:p w14:paraId="52956492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03B36">
              <w:rPr>
                <w:rFonts w:asciiTheme="minorHAnsi" w:hAnsiTheme="minorHAnsi" w:cstheme="minorHAnsi"/>
                <w:b/>
                <w:color w:val="FFFFFF" w:themeColor="background1"/>
              </w:rPr>
              <w:t>68,7</w:t>
            </w:r>
          </w:p>
        </w:tc>
        <w:tc>
          <w:tcPr>
            <w:tcW w:w="906" w:type="dxa"/>
            <w:shd w:val="clear" w:color="auto" w:fill="FF0000"/>
          </w:tcPr>
          <w:p w14:paraId="48402655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03B36">
              <w:rPr>
                <w:rFonts w:asciiTheme="minorHAnsi" w:hAnsiTheme="minorHAnsi" w:cstheme="minorHAnsi"/>
                <w:b/>
                <w:color w:val="FFFFFF" w:themeColor="background1"/>
              </w:rPr>
              <w:t>141,4</w:t>
            </w:r>
          </w:p>
        </w:tc>
        <w:tc>
          <w:tcPr>
            <w:tcW w:w="906" w:type="dxa"/>
            <w:shd w:val="clear" w:color="auto" w:fill="00B050"/>
          </w:tcPr>
          <w:p w14:paraId="600B56EE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03B36">
              <w:rPr>
                <w:rFonts w:asciiTheme="minorHAnsi" w:hAnsiTheme="minorHAnsi" w:cstheme="minorHAnsi"/>
                <w:b/>
                <w:color w:val="FFFFFF" w:themeColor="background1"/>
              </w:rPr>
              <w:t>84,1</w:t>
            </w:r>
          </w:p>
        </w:tc>
        <w:tc>
          <w:tcPr>
            <w:tcW w:w="906" w:type="dxa"/>
            <w:shd w:val="clear" w:color="auto" w:fill="FF0000"/>
          </w:tcPr>
          <w:p w14:paraId="2E12D050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03B36">
              <w:rPr>
                <w:rFonts w:asciiTheme="minorHAnsi" w:hAnsiTheme="minorHAnsi" w:cstheme="minorHAnsi"/>
                <w:b/>
                <w:color w:val="FFFFFF" w:themeColor="background1"/>
              </w:rPr>
              <w:t>81,6</w:t>
            </w:r>
          </w:p>
        </w:tc>
        <w:tc>
          <w:tcPr>
            <w:tcW w:w="907" w:type="dxa"/>
            <w:shd w:val="clear" w:color="auto" w:fill="00B050"/>
          </w:tcPr>
          <w:p w14:paraId="22CE5D76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03B36">
              <w:rPr>
                <w:rFonts w:asciiTheme="minorHAnsi" w:hAnsiTheme="minorHAnsi" w:cstheme="minorHAnsi"/>
                <w:b/>
                <w:color w:val="FFFFFF" w:themeColor="background1"/>
              </w:rPr>
              <w:t>72,9</w:t>
            </w:r>
          </w:p>
        </w:tc>
        <w:tc>
          <w:tcPr>
            <w:tcW w:w="906" w:type="dxa"/>
            <w:shd w:val="clear" w:color="auto" w:fill="FF0000"/>
          </w:tcPr>
          <w:p w14:paraId="61E44DE2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03B36">
              <w:rPr>
                <w:rFonts w:asciiTheme="minorHAnsi" w:hAnsiTheme="minorHAnsi" w:cstheme="minorHAnsi"/>
                <w:b/>
                <w:color w:val="FFFFFF" w:themeColor="background1"/>
              </w:rPr>
              <w:t>42,8</w:t>
            </w:r>
          </w:p>
        </w:tc>
        <w:tc>
          <w:tcPr>
            <w:tcW w:w="907" w:type="dxa"/>
            <w:shd w:val="clear" w:color="auto" w:fill="FF0000"/>
          </w:tcPr>
          <w:p w14:paraId="0E8CC506" w14:textId="77777777" w:rsidR="00603B36" w:rsidRPr="00603B36" w:rsidRDefault="00603B36" w:rsidP="005576DC">
            <w:pPr>
              <w:spacing w:line="36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03B36">
              <w:rPr>
                <w:rFonts w:asciiTheme="minorHAnsi" w:hAnsiTheme="minorHAnsi" w:cstheme="minorHAnsi"/>
                <w:b/>
                <w:color w:val="FFFFFF" w:themeColor="background1"/>
              </w:rPr>
              <w:t>43,5</w:t>
            </w:r>
          </w:p>
        </w:tc>
      </w:tr>
    </w:tbl>
    <w:p w14:paraId="4B7341CB" w14:textId="231DAD81" w:rsidR="00603B36" w:rsidRPr="00AB130F" w:rsidRDefault="00603B36" w:rsidP="00761A88">
      <w:pPr>
        <w:pStyle w:val="Listaszerbekezds"/>
        <w:numPr>
          <w:ilvl w:val="0"/>
          <w:numId w:val="5"/>
        </w:numPr>
        <w:spacing w:after="100" w:line="360" w:lineRule="auto"/>
        <w:ind w:left="568" w:hanging="284"/>
        <w:jc w:val="center"/>
        <w:rPr>
          <w:rFonts w:asciiTheme="minorHAnsi" w:hAnsiTheme="minorHAnsi" w:cstheme="minorHAnsi"/>
          <w:i/>
        </w:rPr>
      </w:pPr>
      <w:r w:rsidRPr="00AB130F">
        <w:rPr>
          <w:rFonts w:asciiTheme="minorHAnsi" w:hAnsiTheme="minorHAnsi" w:cstheme="minorHAnsi"/>
          <w:i/>
        </w:rPr>
        <w:t>sz. táblázat – a 2021. és 2022. évi primer adatok és az ETM mutató változása tárolónként</w:t>
      </w:r>
    </w:p>
    <w:p w14:paraId="2D886A20" w14:textId="78B53C71" w:rsidR="00806F38" w:rsidRDefault="00603B36" w:rsidP="00761A88">
      <w:pPr>
        <w:spacing w:after="10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mennyiségekből megfigyelhető, hogy két tároló (Kardoskút és Pusztaederics) esetében előrelépés, míg két üzem (Hajdúszoboszló és Zsana) tekintetében </w:t>
      </w:r>
      <w:r w:rsidR="00500703">
        <w:rPr>
          <w:rFonts w:asciiTheme="minorHAnsi" w:hAnsiTheme="minorHAnsi" w:cstheme="minorHAnsi"/>
        </w:rPr>
        <w:t>némi visszalépés következett be</w:t>
      </w:r>
      <w:r>
        <w:rPr>
          <w:rFonts w:asciiTheme="minorHAnsi" w:hAnsiTheme="minorHAnsi" w:cstheme="minorHAnsi"/>
        </w:rPr>
        <w:t xml:space="preserve">. A negatív irányú </w:t>
      </w:r>
      <w:r>
        <w:rPr>
          <w:rFonts w:asciiTheme="minorHAnsi" w:hAnsiTheme="minorHAnsi" w:cstheme="minorHAnsi"/>
        </w:rPr>
        <w:lastRenderedPageBreak/>
        <w:t>változás az ETM-et meghatározó peremparaméterek egyikében (</w:t>
      </w:r>
      <w:r w:rsidR="00500703">
        <w:rPr>
          <w:rFonts w:asciiTheme="minorHAnsi" w:hAnsiTheme="minorHAnsi" w:cstheme="minorHAnsi"/>
        </w:rPr>
        <w:t>rendszerirányítói szívónyomás / P</w:t>
      </w:r>
      <w:r w:rsidR="00500703" w:rsidRPr="00500703">
        <w:rPr>
          <w:rFonts w:asciiTheme="minorHAnsi" w:hAnsiTheme="minorHAnsi" w:cstheme="minorHAnsi"/>
          <w:vertAlign w:val="subscript"/>
        </w:rPr>
        <w:t>sz</w:t>
      </w:r>
      <w:r>
        <w:rPr>
          <w:rFonts w:asciiTheme="minorHAnsi" w:hAnsiTheme="minorHAnsi" w:cstheme="minorHAnsi"/>
        </w:rPr>
        <w:t>)</w:t>
      </w:r>
      <w:r w:rsidR="00500703">
        <w:rPr>
          <w:rFonts w:asciiTheme="minorHAnsi" w:hAnsiTheme="minorHAnsi" w:cstheme="minorHAnsi"/>
        </w:rPr>
        <w:t xml:space="preserve"> jelentkező</w:t>
      </w:r>
      <w:r>
        <w:rPr>
          <w:rFonts w:asciiTheme="minorHAnsi" w:hAnsiTheme="minorHAnsi" w:cstheme="minorHAnsi"/>
        </w:rPr>
        <w:t xml:space="preserve"> módosulással magyarázható - elsősorban H</w:t>
      </w:r>
      <w:r w:rsidR="004011CA">
        <w:rPr>
          <w:rFonts w:asciiTheme="minorHAnsi" w:hAnsiTheme="minorHAnsi" w:cstheme="minorHAnsi"/>
        </w:rPr>
        <w:t>ajdúszoboszlónál</w:t>
      </w:r>
      <w:r w:rsidR="00500703">
        <w:rPr>
          <w:rFonts w:asciiTheme="minorHAnsi" w:hAnsiTheme="minorHAnsi" w:cstheme="minorHAnsi"/>
        </w:rPr>
        <w:t xml:space="preserve"> esett az átlagos P</w:t>
      </w:r>
      <w:r w:rsidR="00500703" w:rsidRPr="00500703">
        <w:rPr>
          <w:rFonts w:asciiTheme="minorHAnsi" w:hAnsiTheme="minorHAnsi" w:cstheme="minorHAnsi"/>
          <w:vertAlign w:val="subscript"/>
        </w:rPr>
        <w:t>sz</w:t>
      </w:r>
      <w:r w:rsidR="00500703">
        <w:rPr>
          <w:rFonts w:asciiTheme="minorHAnsi" w:hAnsiTheme="minorHAnsi" w:cstheme="minorHAnsi"/>
        </w:rPr>
        <w:t xml:space="preserve"> több, mint</w:t>
      </w:r>
      <w:r>
        <w:rPr>
          <w:rFonts w:asciiTheme="minorHAnsi" w:hAnsiTheme="minorHAnsi" w:cstheme="minorHAnsi"/>
        </w:rPr>
        <w:t xml:space="preserve"> </w:t>
      </w:r>
      <w:r w:rsidR="00806F38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bar </w:t>
      </w:r>
      <w:r w:rsidR="00806F38">
        <w:rPr>
          <w:rFonts w:asciiTheme="minorHAnsi" w:hAnsiTheme="minorHAnsi" w:cstheme="minorHAnsi"/>
        </w:rPr>
        <w:t>(2021: 49,9</w:t>
      </w:r>
      <w:r w:rsidR="00500703">
        <w:rPr>
          <w:rFonts w:asciiTheme="minorHAnsi" w:hAnsiTheme="minorHAnsi" w:cstheme="minorHAnsi"/>
        </w:rPr>
        <w:t>bar</w:t>
      </w:r>
      <w:r w:rsidR="00806F38">
        <w:rPr>
          <w:rFonts w:asciiTheme="minorHAnsi" w:hAnsiTheme="minorHAnsi" w:cstheme="minorHAnsi"/>
        </w:rPr>
        <w:t xml:space="preserve"> / 2022: 45,2bar) </w:t>
      </w:r>
      <w:r>
        <w:rPr>
          <w:rFonts w:asciiTheme="minorHAnsi" w:hAnsiTheme="minorHAnsi" w:cstheme="minorHAnsi"/>
        </w:rPr>
        <w:t>értékkel.</w:t>
      </w:r>
      <w:r w:rsidR="00806F38">
        <w:rPr>
          <w:rFonts w:asciiTheme="minorHAnsi" w:hAnsiTheme="minorHAnsi" w:cstheme="minorHAnsi"/>
        </w:rPr>
        <w:t xml:space="preserve"> Kardoskút esetében</w:t>
      </w:r>
      <w:r w:rsidR="004011CA">
        <w:rPr>
          <w:rFonts w:asciiTheme="minorHAnsi" w:hAnsiTheme="minorHAnsi" w:cstheme="minorHAnsi"/>
        </w:rPr>
        <w:t>,</w:t>
      </w:r>
      <w:r w:rsidR="00806F38">
        <w:rPr>
          <w:rFonts w:asciiTheme="minorHAnsi" w:hAnsiTheme="minorHAnsi" w:cstheme="minorHAnsi"/>
        </w:rPr>
        <w:t xml:space="preserve"> a </w:t>
      </w:r>
      <w:proofErr w:type="gramStart"/>
      <w:r w:rsidR="00806F38">
        <w:rPr>
          <w:rFonts w:asciiTheme="minorHAnsi" w:hAnsiTheme="minorHAnsi" w:cstheme="minorHAnsi"/>
        </w:rPr>
        <w:t>nagy mértékű</w:t>
      </w:r>
      <w:proofErr w:type="gramEnd"/>
      <w:r w:rsidR="00806F38">
        <w:rPr>
          <w:rFonts w:asciiTheme="minorHAnsi" w:hAnsiTheme="minorHAnsi" w:cstheme="minorHAnsi"/>
        </w:rPr>
        <w:t xml:space="preserve"> előre</w:t>
      </w:r>
      <w:r w:rsidR="004011CA">
        <w:rPr>
          <w:rFonts w:asciiTheme="minorHAnsi" w:hAnsiTheme="minorHAnsi" w:cstheme="minorHAnsi"/>
        </w:rPr>
        <w:t>lépés az új, villamos</w:t>
      </w:r>
      <w:r w:rsidR="00806F38">
        <w:rPr>
          <w:rFonts w:asciiTheme="minorHAnsi" w:hAnsiTheme="minorHAnsi" w:cstheme="minorHAnsi"/>
        </w:rPr>
        <w:t xml:space="preserve"> komprimáló technológiának tudható be. Az 1. s</w:t>
      </w:r>
      <w:r w:rsidR="00500703">
        <w:rPr>
          <w:rFonts w:asciiTheme="minorHAnsi" w:hAnsiTheme="minorHAnsi" w:cstheme="minorHAnsi"/>
        </w:rPr>
        <w:t>z. grafikon a gáz- és villanymotoros meghajtású</w:t>
      </w:r>
      <w:r w:rsidR="00806F38">
        <w:rPr>
          <w:rFonts w:asciiTheme="minorHAnsi" w:hAnsiTheme="minorHAnsi" w:cstheme="minorHAnsi"/>
        </w:rPr>
        <w:t xml:space="preserve"> kompresszorok hatásfoka közötti különbséget szemlélteti.</w:t>
      </w:r>
    </w:p>
    <w:p w14:paraId="557D8E51" w14:textId="2F51932F" w:rsidR="00806F38" w:rsidRDefault="00AB130F" w:rsidP="00AB130F">
      <w:pPr>
        <w:spacing w:line="360" w:lineRule="auto"/>
        <w:ind w:firstLine="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hu-HU"/>
        </w:rPr>
        <w:drawing>
          <wp:inline distT="0" distB="0" distL="0" distR="0" wp14:anchorId="119B35B9" wp14:editId="4730B82D">
            <wp:extent cx="6286500" cy="231648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8494A" w14:textId="6D69638C" w:rsidR="00AB130F" w:rsidRPr="00AB130F" w:rsidRDefault="00AB130F" w:rsidP="00AB130F">
      <w:pPr>
        <w:pStyle w:val="Listaszerbekezds"/>
        <w:numPr>
          <w:ilvl w:val="0"/>
          <w:numId w:val="4"/>
        </w:numPr>
        <w:spacing w:after="200" w:line="360" w:lineRule="auto"/>
        <w:ind w:left="568" w:hanging="284"/>
        <w:jc w:val="center"/>
        <w:rPr>
          <w:rFonts w:asciiTheme="minorHAnsi" w:hAnsiTheme="minorHAnsi" w:cstheme="minorHAnsi"/>
          <w:i/>
        </w:rPr>
      </w:pPr>
      <w:r w:rsidRPr="00AB130F">
        <w:rPr>
          <w:rFonts w:asciiTheme="minorHAnsi" w:hAnsiTheme="minorHAnsi" w:cstheme="minorHAnsi"/>
          <w:i/>
        </w:rPr>
        <w:t>sz. grafikon – Kardoskút FGT két (gáz- és villanymotoros) kompresszorának hatásfoka</w:t>
      </w:r>
    </w:p>
    <w:p w14:paraId="7A0D79A4" w14:textId="158471F4" w:rsidR="00806F38" w:rsidRDefault="00051E7E" w:rsidP="00761A88">
      <w:pPr>
        <w:spacing w:after="10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MFGT 2021. és 2022. évi teljes ETM mutatóját vizsgálva, összességében előrelépés tapasztalható energetikai vonatkozásban. A teljes, össztárolói betárolási mennyiséghez szükséges fűtőgáz és villamos energia kapacitások viszonyának összevetését a 2. sz. grafikon ábrázolja.</w:t>
      </w:r>
    </w:p>
    <w:p w14:paraId="15145EC2" w14:textId="41C475EE" w:rsidR="00511BDB" w:rsidRDefault="00511BDB" w:rsidP="00511BDB">
      <w:pPr>
        <w:spacing w:line="360" w:lineRule="auto"/>
        <w:ind w:firstLine="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hu-HU"/>
        </w:rPr>
        <w:drawing>
          <wp:inline distT="0" distB="0" distL="0" distR="0" wp14:anchorId="5E2F9253" wp14:editId="5E5CC0E5">
            <wp:extent cx="3834000" cy="2030400"/>
            <wp:effectExtent l="0" t="0" r="0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000" cy="20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9AE97" w14:textId="48A77BC1" w:rsidR="00761A88" w:rsidRPr="00AB130F" w:rsidRDefault="00761A88" w:rsidP="00761A88">
      <w:pPr>
        <w:pStyle w:val="Listaszerbekezds"/>
        <w:numPr>
          <w:ilvl w:val="0"/>
          <w:numId w:val="4"/>
        </w:numPr>
        <w:spacing w:after="200" w:line="360" w:lineRule="auto"/>
        <w:ind w:left="568" w:hanging="284"/>
        <w:jc w:val="center"/>
        <w:rPr>
          <w:rFonts w:asciiTheme="minorHAnsi" w:hAnsiTheme="minorHAnsi" w:cstheme="minorHAnsi"/>
          <w:i/>
        </w:rPr>
      </w:pPr>
      <w:r w:rsidRPr="00AB130F">
        <w:rPr>
          <w:rFonts w:asciiTheme="minorHAnsi" w:hAnsiTheme="minorHAnsi" w:cstheme="minorHAnsi"/>
          <w:i/>
        </w:rPr>
        <w:t xml:space="preserve">sz. grafikon – </w:t>
      </w:r>
      <w:r>
        <w:rPr>
          <w:rFonts w:asciiTheme="minorHAnsi" w:hAnsiTheme="minorHAnsi" w:cstheme="minorHAnsi"/>
          <w:i/>
        </w:rPr>
        <w:t>MFGT 2021. és 2022. évi ETM paraméterei</w:t>
      </w:r>
    </w:p>
    <w:p w14:paraId="40A3F2FA" w14:textId="3E8479FB" w:rsidR="00761A88" w:rsidRDefault="00761A88" w:rsidP="00030789">
      <w:pPr>
        <w:spacing w:after="10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 kockázati tényezők felülvizsgálatát követően, számos lépés történt az energiabiztonság növelése érdekében. A 2. sz. táblázat ezen tényezőket foglalja össze.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56"/>
        <w:gridCol w:w="2074"/>
        <w:gridCol w:w="1228"/>
        <w:gridCol w:w="3302"/>
      </w:tblGrid>
      <w:tr w:rsidR="00761A88" w14:paraId="19E52331" w14:textId="77777777" w:rsidTr="00030789">
        <w:trPr>
          <w:jc w:val="center"/>
        </w:trPr>
        <w:tc>
          <w:tcPr>
            <w:tcW w:w="3302" w:type="dxa"/>
            <w:gridSpan w:val="2"/>
          </w:tcPr>
          <w:p w14:paraId="55455F70" w14:textId="48068707" w:rsidR="00761A88" w:rsidRP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61A88">
              <w:rPr>
                <w:rFonts w:asciiTheme="minorHAnsi" w:hAnsiTheme="minorHAnsi" w:cstheme="minorHAnsi"/>
                <w:b/>
              </w:rPr>
              <w:t>Tényező</w:t>
            </w:r>
          </w:p>
        </w:tc>
        <w:tc>
          <w:tcPr>
            <w:tcW w:w="3302" w:type="dxa"/>
            <w:gridSpan w:val="2"/>
          </w:tcPr>
          <w:p w14:paraId="616B3303" w14:textId="1F4044F3" w:rsidR="00761A88" w:rsidRP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61A88">
              <w:rPr>
                <w:rFonts w:asciiTheme="minorHAnsi" w:hAnsiTheme="minorHAnsi" w:cstheme="minorHAnsi"/>
                <w:b/>
              </w:rPr>
              <w:t>Kockázat</w:t>
            </w:r>
          </w:p>
        </w:tc>
        <w:tc>
          <w:tcPr>
            <w:tcW w:w="3302" w:type="dxa"/>
          </w:tcPr>
          <w:p w14:paraId="6890E66F" w14:textId="40C7D2E0" w:rsidR="00761A88" w:rsidRP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61A88">
              <w:rPr>
                <w:rFonts w:asciiTheme="minorHAnsi" w:hAnsiTheme="minorHAnsi" w:cstheme="minorHAnsi"/>
                <w:b/>
              </w:rPr>
              <w:t>Intézkedés</w:t>
            </w:r>
          </w:p>
        </w:tc>
      </w:tr>
      <w:tr w:rsidR="00761A88" w14:paraId="5B817E3B" w14:textId="77777777" w:rsidTr="00030789">
        <w:trPr>
          <w:trHeight w:val="425"/>
          <w:jc w:val="center"/>
        </w:trPr>
        <w:tc>
          <w:tcPr>
            <w:tcW w:w="3302" w:type="dxa"/>
            <w:gridSpan w:val="2"/>
          </w:tcPr>
          <w:p w14:paraId="0683D3BD" w14:textId="74F363C2" w:rsidR="00761A88" w:rsidRPr="00761A88" w:rsidRDefault="00761A88" w:rsidP="00761A88">
            <w:pPr>
              <w:pStyle w:val="Listaszerbekezds"/>
              <w:numPr>
                <w:ilvl w:val="0"/>
                <w:numId w:val="6"/>
              </w:numPr>
              <w:spacing w:line="360" w:lineRule="auto"/>
              <w:ind w:left="318" w:hanging="284"/>
              <w:jc w:val="both"/>
              <w:rPr>
                <w:rFonts w:asciiTheme="minorHAnsi" w:hAnsiTheme="minorHAnsi" w:cstheme="minorHAnsi"/>
              </w:rPr>
            </w:pPr>
            <w:r w:rsidRPr="00761A88">
              <w:rPr>
                <w:rFonts w:asciiTheme="minorHAnsi" w:hAnsiTheme="minorHAnsi" w:cstheme="minorHAnsi"/>
              </w:rPr>
              <w:t>Energiaellátás</w:t>
            </w:r>
          </w:p>
        </w:tc>
        <w:tc>
          <w:tcPr>
            <w:tcW w:w="3302" w:type="dxa"/>
            <w:gridSpan w:val="2"/>
          </w:tcPr>
          <w:p w14:paraId="0A5EB156" w14:textId="4BF0D127" w:rsid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Primer energiaforrás kie</w:t>
            </w:r>
            <w:r w:rsidR="004011CA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ése</w:t>
            </w:r>
          </w:p>
        </w:tc>
        <w:tc>
          <w:tcPr>
            <w:tcW w:w="3302" w:type="dxa"/>
          </w:tcPr>
          <w:p w14:paraId="6DC5E224" w14:textId="2B6F9ECA" w:rsid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Áramfejlesztő telepítése</w:t>
            </w:r>
          </w:p>
        </w:tc>
      </w:tr>
      <w:tr w:rsidR="00761A88" w14:paraId="62C3B984" w14:textId="77777777" w:rsidTr="00030789">
        <w:trPr>
          <w:trHeight w:val="425"/>
          <w:jc w:val="center"/>
        </w:trPr>
        <w:tc>
          <w:tcPr>
            <w:tcW w:w="3302" w:type="dxa"/>
            <w:gridSpan w:val="2"/>
          </w:tcPr>
          <w:p w14:paraId="11D480B7" w14:textId="16A1CA51" w:rsidR="00761A88" w:rsidRPr="00761A88" w:rsidRDefault="00761A88" w:rsidP="00761A88">
            <w:pPr>
              <w:pStyle w:val="Listaszerbekezds"/>
              <w:numPr>
                <w:ilvl w:val="0"/>
                <w:numId w:val="6"/>
              </w:numPr>
              <w:spacing w:line="360" w:lineRule="auto"/>
              <w:ind w:left="318" w:hanging="284"/>
              <w:jc w:val="both"/>
              <w:rPr>
                <w:rFonts w:asciiTheme="minorHAnsi" w:hAnsiTheme="minorHAnsi" w:cstheme="minorHAnsi"/>
              </w:rPr>
            </w:pPr>
            <w:r w:rsidRPr="00761A88">
              <w:rPr>
                <w:rFonts w:asciiTheme="minorHAnsi" w:hAnsiTheme="minorHAnsi" w:cstheme="minorHAnsi"/>
              </w:rPr>
              <w:t>Folytonosság</w:t>
            </w:r>
          </w:p>
        </w:tc>
        <w:tc>
          <w:tcPr>
            <w:tcW w:w="3302" w:type="dxa"/>
            <w:gridSpan w:val="2"/>
          </w:tcPr>
          <w:p w14:paraId="205AB9CF" w14:textId="5D3F2E40" w:rsid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Műszaki egység meghibásodása</w:t>
            </w:r>
          </w:p>
        </w:tc>
        <w:tc>
          <w:tcPr>
            <w:tcW w:w="3302" w:type="dxa"/>
          </w:tcPr>
          <w:p w14:paraId="5396FF0F" w14:textId="248DE368" w:rsid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Közbeszerzési szerződéskötés</w:t>
            </w:r>
          </w:p>
        </w:tc>
      </w:tr>
      <w:tr w:rsidR="00761A88" w14:paraId="2BE3AC76" w14:textId="77777777" w:rsidTr="00030789">
        <w:trPr>
          <w:trHeight w:val="425"/>
          <w:jc w:val="center"/>
        </w:trPr>
        <w:tc>
          <w:tcPr>
            <w:tcW w:w="3302" w:type="dxa"/>
            <w:gridSpan w:val="2"/>
          </w:tcPr>
          <w:p w14:paraId="09B0D958" w14:textId="6D6A29D5" w:rsidR="00761A88" w:rsidRPr="00761A88" w:rsidRDefault="00761A88" w:rsidP="00761A88">
            <w:pPr>
              <w:pStyle w:val="Listaszerbekezds"/>
              <w:numPr>
                <w:ilvl w:val="0"/>
                <w:numId w:val="6"/>
              </w:numPr>
              <w:spacing w:line="360" w:lineRule="auto"/>
              <w:ind w:left="318" w:hanging="284"/>
              <w:jc w:val="both"/>
              <w:rPr>
                <w:rFonts w:asciiTheme="minorHAnsi" w:hAnsiTheme="minorHAnsi" w:cstheme="minorHAnsi"/>
              </w:rPr>
            </w:pPr>
            <w:r w:rsidRPr="00761A88">
              <w:rPr>
                <w:rFonts w:asciiTheme="minorHAnsi" w:hAnsiTheme="minorHAnsi" w:cstheme="minorHAnsi"/>
              </w:rPr>
              <w:t>Hatékonyságnövelés</w:t>
            </w:r>
          </w:p>
        </w:tc>
        <w:tc>
          <w:tcPr>
            <w:tcW w:w="3302" w:type="dxa"/>
            <w:gridSpan w:val="2"/>
          </w:tcPr>
          <w:p w14:paraId="608EB705" w14:textId="4428DE74" w:rsid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Elavult egység üzemeltetése</w:t>
            </w:r>
          </w:p>
        </w:tc>
        <w:tc>
          <w:tcPr>
            <w:tcW w:w="3302" w:type="dxa"/>
          </w:tcPr>
          <w:p w14:paraId="5E10218B" w14:textId="5BB475FB" w:rsid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Projektek előirányzása</w:t>
            </w:r>
          </w:p>
        </w:tc>
      </w:tr>
      <w:tr w:rsidR="00761A88" w14:paraId="184F6872" w14:textId="77777777" w:rsidTr="00030789">
        <w:trPr>
          <w:trHeight w:val="439"/>
          <w:jc w:val="center"/>
        </w:trPr>
        <w:tc>
          <w:tcPr>
            <w:tcW w:w="9906" w:type="dxa"/>
            <w:gridSpan w:val="5"/>
          </w:tcPr>
          <w:p w14:paraId="00D57753" w14:textId="3C07973F" w:rsidR="00761A88" w:rsidRP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61A88">
              <w:rPr>
                <w:rFonts w:asciiTheme="minorHAnsi" w:hAnsiTheme="minorHAnsi" w:cstheme="minorHAnsi"/>
                <w:b/>
              </w:rPr>
              <w:t>Példa</w:t>
            </w:r>
          </w:p>
        </w:tc>
      </w:tr>
      <w:tr w:rsidR="00761A88" w14:paraId="28589AC3" w14:textId="77777777" w:rsidTr="00030789">
        <w:trPr>
          <w:trHeight w:val="440"/>
          <w:jc w:val="center"/>
        </w:trPr>
        <w:tc>
          <w:tcPr>
            <w:tcW w:w="846" w:type="dxa"/>
          </w:tcPr>
          <w:p w14:paraId="3966A738" w14:textId="4E99B7B8" w:rsid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30" w:type="dxa"/>
            <w:gridSpan w:val="2"/>
          </w:tcPr>
          <w:p w14:paraId="3229F177" w14:textId="1D8CEFB4" w:rsid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4011CA">
              <w:rPr>
                <w:rFonts w:asciiTheme="minorHAnsi" w:hAnsiTheme="minorHAnsi" w:cstheme="minorHAnsi"/>
              </w:rPr>
              <w:t>ar</w:t>
            </w:r>
            <w:r>
              <w:rPr>
                <w:rFonts w:asciiTheme="minorHAnsi" w:hAnsiTheme="minorHAnsi" w:cstheme="minorHAnsi"/>
              </w:rPr>
              <w:t>doskút / S</w:t>
            </w:r>
            <w:r w:rsidRPr="00761A88">
              <w:rPr>
                <w:rFonts w:asciiTheme="minorHAnsi" w:hAnsiTheme="minorHAnsi" w:cstheme="minorHAnsi"/>
                <w:vertAlign w:val="subscript"/>
              </w:rPr>
              <w:t>n</w:t>
            </w:r>
            <w:r>
              <w:rPr>
                <w:rFonts w:asciiTheme="minorHAnsi" w:hAnsiTheme="minorHAnsi" w:cstheme="minorHAnsi"/>
              </w:rPr>
              <w:t xml:space="preserve"> = 440kVA</w:t>
            </w:r>
          </w:p>
        </w:tc>
        <w:tc>
          <w:tcPr>
            <w:tcW w:w="4530" w:type="dxa"/>
            <w:gridSpan w:val="2"/>
          </w:tcPr>
          <w:p w14:paraId="0E21236C" w14:textId="3CFBF48C" w:rsid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Zsana / S</w:t>
            </w:r>
            <w:r w:rsidRPr="00761A88">
              <w:rPr>
                <w:rFonts w:asciiTheme="minorHAnsi" w:hAnsiTheme="minorHAnsi" w:cstheme="minorHAnsi"/>
                <w:vertAlign w:val="subscript"/>
              </w:rPr>
              <w:t>n</w:t>
            </w:r>
            <w:r>
              <w:rPr>
                <w:rFonts w:asciiTheme="minorHAnsi" w:hAnsiTheme="minorHAnsi" w:cstheme="minorHAnsi"/>
              </w:rPr>
              <w:t xml:space="preserve"> = 1400kVA</w:t>
            </w:r>
          </w:p>
        </w:tc>
      </w:tr>
      <w:tr w:rsidR="00761A88" w14:paraId="0B39C973" w14:textId="77777777" w:rsidTr="00030789">
        <w:trPr>
          <w:trHeight w:val="440"/>
          <w:jc w:val="center"/>
        </w:trPr>
        <w:tc>
          <w:tcPr>
            <w:tcW w:w="846" w:type="dxa"/>
          </w:tcPr>
          <w:p w14:paraId="128738EE" w14:textId="65E9A830" w:rsid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530" w:type="dxa"/>
            <w:gridSpan w:val="2"/>
          </w:tcPr>
          <w:p w14:paraId="689FC9B7" w14:textId="111008FF" w:rsid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Meddőkompenzáló és szűrő / Elektronet Kft.</w:t>
            </w:r>
          </w:p>
        </w:tc>
        <w:tc>
          <w:tcPr>
            <w:tcW w:w="4530" w:type="dxa"/>
            <w:gridSpan w:val="2"/>
          </w:tcPr>
          <w:p w14:paraId="550A67B7" w14:textId="50473B72" w:rsid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KÖF frekvenciaváltó / Siemens – Radwell</w:t>
            </w:r>
          </w:p>
        </w:tc>
      </w:tr>
      <w:tr w:rsidR="00761A88" w14:paraId="1BAA8587" w14:textId="77777777" w:rsidTr="00030789">
        <w:trPr>
          <w:trHeight w:val="440"/>
          <w:jc w:val="center"/>
        </w:trPr>
        <w:tc>
          <w:tcPr>
            <w:tcW w:w="846" w:type="dxa"/>
          </w:tcPr>
          <w:p w14:paraId="7E8F174F" w14:textId="715C99DC" w:rsidR="00761A88" w:rsidRDefault="00761A88" w:rsidP="00051E7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530" w:type="dxa"/>
            <w:gridSpan w:val="2"/>
          </w:tcPr>
          <w:p w14:paraId="527E350C" w14:textId="613D8E51" w:rsidR="00761A88" w:rsidRDefault="00435584" w:rsidP="00051E7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Hajtásrekonstrukció / PED</w:t>
            </w:r>
          </w:p>
        </w:tc>
        <w:tc>
          <w:tcPr>
            <w:tcW w:w="4530" w:type="dxa"/>
            <w:gridSpan w:val="2"/>
          </w:tcPr>
          <w:p w14:paraId="4EC5F73C" w14:textId="44A55738" w:rsidR="00761A88" w:rsidRDefault="00435584" w:rsidP="00051E7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Kompresszorhajtás villamosítás / HSZ</w:t>
            </w:r>
          </w:p>
        </w:tc>
      </w:tr>
    </w:tbl>
    <w:p w14:paraId="5F4E8165" w14:textId="7FA4F7C6" w:rsidR="00030789" w:rsidRPr="00030789" w:rsidRDefault="00030789" w:rsidP="00030789">
      <w:pPr>
        <w:spacing w:after="100" w:line="360" w:lineRule="auto"/>
        <w:ind w:left="568" w:hanging="284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2.</w:t>
      </w:r>
      <w:r>
        <w:rPr>
          <w:rFonts w:asciiTheme="minorHAnsi" w:hAnsiTheme="minorHAnsi" w:cstheme="minorHAnsi"/>
          <w:i/>
        </w:rPr>
        <w:tab/>
      </w:r>
      <w:r w:rsidRPr="00030789">
        <w:rPr>
          <w:rFonts w:asciiTheme="minorHAnsi" w:hAnsiTheme="minorHAnsi" w:cstheme="minorHAnsi"/>
          <w:i/>
        </w:rPr>
        <w:t>sz. táblázat –</w:t>
      </w:r>
      <w:r>
        <w:rPr>
          <w:rFonts w:asciiTheme="minorHAnsi" w:hAnsiTheme="minorHAnsi" w:cstheme="minorHAnsi"/>
          <w:i/>
        </w:rPr>
        <w:t xml:space="preserve"> kockázati tényezők értékelése és intézkedési példák</w:t>
      </w:r>
    </w:p>
    <w:p w14:paraId="170F7B6D" w14:textId="28AFBB80" w:rsidR="00761A88" w:rsidRDefault="00435584" w:rsidP="00435584">
      <w:pPr>
        <w:spacing w:after="100" w:line="36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Méréstechnikai oldalról újításként jelentkezett a Kardoskút FGT / Akvamarin projekt irányítástechnikai rendezése. Egyrészt jelentős mennyiségű primer, illetve szekunder (képezett) TAG / mérési pont keletkezett (3. sz. grafikon), amelyeket rendszerbe kellett foglalni. Egyedinek mondható, hogy a kapacitásszabályozási oldalon a területileg illet</w:t>
      </w:r>
      <w:r w:rsidR="004011CA">
        <w:rPr>
          <w:rFonts w:asciiTheme="minorHAnsi" w:hAnsiTheme="minorHAnsi" w:cstheme="minorHAnsi"/>
        </w:rPr>
        <w:t>é</w:t>
      </w:r>
      <w:r>
        <w:rPr>
          <w:rFonts w:asciiTheme="minorHAnsi" w:hAnsiTheme="minorHAnsi" w:cstheme="minorHAnsi"/>
        </w:rPr>
        <w:t>kes villamos elosztó hálózat engedélyes mérőberendezésétől közvetlenül kapott információk alapján történik az irányítói beavatkozás.</w:t>
      </w:r>
    </w:p>
    <w:p w14:paraId="63A0D70B" w14:textId="5A7F0B31" w:rsidR="00761A88" w:rsidRDefault="00435584" w:rsidP="00435584">
      <w:pPr>
        <w:spacing w:line="360" w:lineRule="auto"/>
        <w:ind w:firstLine="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hu-HU"/>
        </w:rPr>
        <w:drawing>
          <wp:inline distT="0" distB="0" distL="0" distR="0" wp14:anchorId="0249580F" wp14:editId="1BAEC103">
            <wp:extent cx="3531600" cy="25812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600" cy="25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31D3E" w14:textId="4F438582" w:rsidR="00585B61" w:rsidRPr="00435584" w:rsidRDefault="00435584" w:rsidP="00435584">
      <w:pPr>
        <w:pStyle w:val="Listaszerbekezds"/>
        <w:numPr>
          <w:ilvl w:val="0"/>
          <w:numId w:val="4"/>
        </w:numPr>
        <w:spacing w:after="200" w:line="360" w:lineRule="auto"/>
        <w:jc w:val="center"/>
        <w:rPr>
          <w:rFonts w:asciiTheme="minorHAnsi" w:hAnsiTheme="minorHAnsi" w:cstheme="minorHAnsi"/>
          <w:i/>
        </w:rPr>
      </w:pPr>
      <w:r w:rsidRPr="00AB130F">
        <w:rPr>
          <w:rFonts w:asciiTheme="minorHAnsi" w:hAnsiTheme="minorHAnsi" w:cstheme="minorHAnsi"/>
          <w:i/>
        </w:rPr>
        <w:t xml:space="preserve">sz. grafikon – </w:t>
      </w:r>
      <w:r>
        <w:rPr>
          <w:rFonts w:asciiTheme="minorHAnsi" w:hAnsiTheme="minorHAnsi" w:cstheme="minorHAnsi"/>
          <w:i/>
        </w:rPr>
        <w:t>PI / AF adatbázis a szekunder TAG-ekkel</w:t>
      </w:r>
    </w:p>
    <w:sectPr w:rsidR="00585B61" w:rsidRPr="00435584" w:rsidSect="00DA78FC">
      <w:headerReference w:type="even" r:id="rId14"/>
      <w:headerReference w:type="default" r:id="rId15"/>
      <w:footerReference w:type="default" r:id="rId16"/>
      <w:pgSz w:w="11900" w:h="16840"/>
      <w:pgMar w:top="3175" w:right="992" w:bottom="1701" w:left="992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792F4" w14:textId="77777777" w:rsidR="00537E23" w:rsidRDefault="00537E23" w:rsidP="001B7307">
      <w:r>
        <w:separator/>
      </w:r>
    </w:p>
  </w:endnote>
  <w:endnote w:type="continuationSeparator" w:id="0">
    <w:p w14:paraId="4EFC34C3" w14:textId="77777777" w:rsidR="00537E23" w:rsidRDefault="00537E23" w:rsidP="001B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lkboard"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753885690"/>
      <w:docPartObj>
        <w:docPartGallery w:val="Page Numbers (Bottom of Page)"/>
        <w:docPartUnique/>
      </w:docPartObj>
    </w:sdtPr>
    <w:sdtEndPr/>
    <w:sdtContent>
      <w:p w14:paraId="1DCBC542" w14:textId="7EA190B0" w:rsidR="00DA78FC" w:rsidRPr="00DA78FC" w:rsidRDefault="00DA78FC" w:rsidP="00DA78FC">
        <w:pPr>
          <w:pStyle w:val="llb"/>
          <w:jc w:val="right"/>
          <w:rPr>
            <w:rFonts w:asciiTheme="minorHAnsi" w:hAnsiTheme="minorHAnsi" w:cstheme="minorHAnsi"/>
          </w:rPr>
        </w:pPr>
        <w:r w:rsidRPr="00DA78F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A78FC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A78F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447A3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DA78FC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3B6A2" w14:textId="77777777" w:rsidR="00537E23" w:rsidRDefault="00537E23" w:rsidP="001B7307">
      <w:r>
        <w:separator/>
      </w:r>
    </w:p>
  </w:footnote>
  <w:footnote w:type="continuationSeparator" w:id="0">
    <w:p w14:paraId="66725001" w14:textId="77777777" w:rsidR="00537E23" w:rsidRDefault="00537E23" w:rsidP="001B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50DF5" w14:textId="77777777" w:rsidR="00D07F36" w:rsidRDefault="00D07F36" w:rsidP="0048171E">
    <w:pPr>
      <w:pStyle w:val="lfej"/>
      <w:tabs>
        <w:tab w:val="clear" w:pos="4320"/>
        <w:tab w:val="clear" w:pos="8640"/>
        <w:tab w:val="center" w:pos="4150"/>
        <w:tab w:val="right" w:pos="8300"/>
      </w:tabs>
    </w:pPr>
    <w:r>
      <w:t>[Type text]</w:t>
    </w:r>
    <w:r>
      <w:tab/>
      <w:t>[Type text]</w:t>
    </w:r>
    <w:r>
      <w:tab/>
      <w:t>[Type text]</w:t>
    </w:r>
  </w:p>
  <w:p w14:paraId="601530D1" w14:textId="77777777" w:rsidR="00D07F36" w:rsidRDefault="00D07F3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43909" w14:textId="0B514EF0" w:rsidR="007936A9" w:rsidRPr="007936A9" w:rsidRDefault="007936A9" w:rsidP="007936A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94E0D8D" wp14:editId="0D8226AF">
          <wp:simplePos x="0" y="0"/>
          <wp:positionH relativeFrom="page">
            <wp:posOffset>3091</wp:posOffset>
          </wp:positionH>
          <wp:positionV relativeFrom="paragraph">
            <wp:posOffset>-34506</wp:posOffset>
          </wp:positionV>
          <wp:extent cx="7568165" cy="10712663"/>
          <wp:effectExtent l="0" t="0" r="0" b="0"/>
          <wp:wrapNone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Kép 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165" cy="10712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5680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C293B"/>
    <w:multiLevelType w:val="hybridMultilevel"/>
    <w:tmpl w:val="104A437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F2F93"/>
    <w:multiLevelType w:val="hybridMultilevel"/>
    <w:tmpl w:val="578041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D587E"/>
    <w:multiLevelType w:val="hybridMultilevel"/>
    <w:tmpl w:val="2604DED0"/>
    <w:lvl w:ilvl="0" w:tplc="7944B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461437"/>
    <w:multiLevelType w:val="hybridMultilevel"/>
    <w:tmpl w:val="3BCC7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46FD"/>
    <w:multiLevelType w:val="hybridMultilevel"/>
    <w:tmpl w:val="42284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F0F54"/>
    <w:multiLevelType w:val="hybridMultilevel"/>
    <w:tmpl w:val="42284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66"/>
    <w:rsid w:val="00030789"/>
    <w:rsid w:val="00051E7E"/>
    <w:rsid w:val="00091B14"/>
    <w:rsid w:val="0009373B"/>
    <w:rsid w:val="000D52BB"/>
    <w:rsid w:val="000F092E"/>
    <w:rsid w:val="000F77BB"/>
    <w:rsid w:val="001174E2"/>
    <w:rsid w:val="00120DB7"/>
    <w:rsid w:val="001B7307"/>
    <w:rsid w:val="001D2134"/>
    <w:rsid w:val="001E050C"/>
    <w:rsid w:val="001F4482"/>
    <w:rsid w:val="00214067"/>
    <w:rsid w:val="00235BD7"/>
    <w:rsid w:val="00260705"/>
    <w:rsid w:val="00291789"/>
    <w:rsid w:val="002D09E3"/>
    <w:rsid w:val="002F7BC5"/>
    <w:rsid w:val="00330B64"/>
    <w:rsid w:val="0034520D"/>
    <w:rsid w:val="00392BDE"/>
    <w:rsid w:val="003A33B5"/>
    <w:rsid w:val="003A6A01"/>
    <w:rsid w:val="003B2535"/>
    <w:rsid w:val="003C54BD"/>
    <w:rsid w:val="003D55F6"/>
    <w:rsid w:val="003F48A4"/>
    <w:rsid w:val="004011CA"/>
    <w:rsid w:val="00404E07"/>
    <w:rsid w:val="00405D4C"/>
    <w:rsid w:val="00407524"/>
    <w:rsid w:val="00414DBA"/>
    <w:rsid w:val="004334BF"/>
    <w:rsid w:val="00435584"/>
    <w:rsid w:val="0046261C"/>
    <w:rsid w:val="0048171E"/>
    <w:rsid w:val="004B10AD"/>
    <w:rsid w:val="004E2950"/>
    <w:rsid w:val="00500703"/>
    <w:rsid w:val="00511BDB"/>
    <w:rsid w:val="0052240D"/>
    <w:rsid w:val="00537E23"/>
    <w:rsid w:val="00555149"/>
    <w:rsid w:val="00585B61"/>
    <w:rsid w:val="005C2112"/>
    <w:rsid w:val="00603B36"/>
    <w:rsid w:val="00650F49"/>
    <w:rsid w:val="006803FC"/>
    <w:rsid w:val="00695C78"/>
    <w:rsid w:val="006A0D94"/>
    <w:rsid w:val="006B1DFA"/>
    <w:rsid w:val="006C4F28"/>
    <w:rsid w:val="006E13C5"/>
    <w:rsid w:val="006F37A2"/>
    <w:rsid w:val="006F78E2"/>
    <w:rsid w:val="00703D87"/>
    <w:rsid w:val="00706177"/>
    <w:rsid w:val="00761A88"/>
    <w:rsid w:val="007936A9"/>
    <w:rsid w:val="0079608F"/>
    <w:rsid w:val="007C494E"/>
    <w:rsid w:val="007D65B6"/>
    <w:rsid w:val="007F673A"/>
    <w:rsid w:val="00806F38"/>
    <w:rsid w:val="00845C95"/>
    <w:rsid w:val="00853241"/>
    <w:rsid w:val="008C71AF"/>
    <w:rsid w:val="008F3D7D"/>
    <w:rsid w:val="008F7DB2"/>
    <w:rsid w:val="0090108A"/>
    <w:rsid w:val="00902666"/>
    <w:rsid w:val="0097784F"/>
    <w:rsid w:val="009A51D8"/>
    <w:rsid w:val="009B06D6"/>
    <w:rsid w:val="00A37DAD"/>
    <w:rsid w:val="00A544C6"/>
    <w:rsid w:val="00A95D02"/>
    <w:rsid w:val="00AB130F"/>
    <w:rsid w:val="00AB271C"/>
    <w:rsid w:val="00AD6FCB"/>
    <w:rsid w:val="00B45565"/>
    <w:rsid w:val="00B458BC"/>
    <w:rsid w:val="00B97B74"/>
    <w:rsid w:val="00BA0C10"/>
    <w:rsid w:val="00BA53A6"/>
    <w:rsid w:val="00BA7CEF"/>
    <w:rsid w:val="00BC351F"/>
    <w:rsid w:val="00C0613F"/>
    <w:rsid w:val="00C37901"/>
    <w:rsid w:val="00C518B6"/>
    <w:rsid w:val="00C647B6"/>
    <w:rsid w:val="00C84224"/>
    <w:rsid w:val="00C84346"/>
    <w:rsid w:val="00CA31F8"/>
    <w:rsid w:val="00D0496C"/>
    <w:rsid w:val="00D07F36"/>
    <w:rsid w:val="00D74AA0"/>
    <w:rsid w:val="00D758D0"/>
    <w:rsid w:val="00DA78FC"/>
    <w:rsid w:val="00DC1E3D"/>
    <w:rsid w:val="00DD66F2"/>
    <w:rsid w:val="00E222BB"/>
    <w:rsid w:val="00E350E7"/>
    <w:rsid w:val="00E447A3"/>
    <w:rsid w:val="00E60F15"/>
    <w:rsid w:val="00E9222A"/>
    <w:rsid w:val="00EC786B"/>
    <w:rsid w:val="00EE7B13"/>
    <w:rsid w:val="00F12291"/>
    <w:rsid w:val="00F22369"/>
    <w:rsid w:val="00F521AA"/>
    <w:rsid w:val="00F65A57"/>
    <w:rsid w:val="00F65C9F"/>
    <w:rsid w:val="00F77056"/>
    <w:rsid w:val="00FD4BC5"/>
    <w:rsid w:val="00FE59CD"/>
    <w:rsid w:val="00FE6517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41EF9A"/>
  <w14:defaultImageDpi w14:val="300"/>
  <w15:docId w15:val="{337CC265-8B13-4C57-8295-F0616CD2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7307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B7307"/>
    <w:rPr>
      <w:rFonts w:ascii="Lucida Grande" w:hAnsi="Lucida Grande" w:cs="Lucida Grande"/>
      <w:sz w:val="18"/>
      <w:szCs w:val="18"/>
      <w:lang w:val="hu-HU"/>
    </w:rPr>
  </w:style>
  <w:style w:type="paragraph" w:styleId="lfej">
    <w:name w:val="header"/>
    <w:basedOn w:val="Norml"/>
    <w:link w:val="lfejChar"/>
    <w:uiPriority w:val="99"/>
    <w:unhideWhenUsed/>
    <w:rsid w:val="001B7307"/>
    <w:pPr>
      <w:tabs>
        <w:tab w:val="center" w:pos="4320"/>
        <w:tab w:val="right" w:pos="8640"/>
      </w:tabs>
    </w:pPr>
  </w:style>
  <w:style w:type="character" w:customStyle="1" w:styleId="lfejChar">
    <w:name w:val="Élőfej Char"/>
    <w:link w:val="lfej"/>
    <w:uiPriority w:val="99"/>
    <w:rsid w:val="001B7307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1B7307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sid w:val="001B7307"/>
    <w:rPr>
      <w:lang w:val="hu-HU"/>
    </w:rPr>
  </w:style>
  <w:style w:type="paragraph" w:customStyle="1" w:styleId="BasicParagraph">
    <w:name w:val="[Basic Paragraph]"/>
    <w:basedOn w:val="Norml"/>
    <w:uiPriority w:val="99"/>
    <w:rsid w:val="00B4556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Rcsostblzat">
    <w:name w:val="Table Grid"/>
    <w:basedOn w:val="Normltblzat"/>
    <w:uiPriority w:val="39"/>
    <w:rsid w:val="0058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72"/>
    <w:qFormat/>
    <w:rsid w:val="00AB1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unka_\C7791\Arculat,%20log&#243;\Jelenlegi%20log&#243;\Sablonok%20&#250;j%20tan&#250;s&#237;t&#243;%20log&#243;kkal\MFGT%20szerz&#337;d&#233;s%20sablon%20202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190D54EF12794FA7C71C29FA8EFA85" ma:contentTypeVersion="0" ma:contentTypeDescription="Új dokumentum létrehozása." ma:contentTypeScope="" ma:versionID="5c6305af9931809d734d8e8855286b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48e1fdd3f5553ee3705308f4e116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EDCFBF-8BB1-4CED-B4D0-3692CF247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78147-DFCB-491B-9684-7F50767AC7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B69F19-2E5C-4AD7-8E0B-379D142E1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CA5992-2620-4C2C-A41C-1AC33713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MFGT szerződés sablon 2021.dotx</Template>
  <TotalTime>1748</TotalTime>
  <Pages>3</Pages>
  <Words>466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goog@hung-ister.hu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Pulai Fruzsina</dc:creator>
  <cp:lastModifiedBy>Takács Gábor</cp:lastModifiedBy>
  <cp:revision>21</cp:revision>
  <cp:lastPrinted>2023-10-17T10:10:00Z</cp:lastPrinted>
  <dcterms:created xsi:type="dcterms:W3CDTF">2023-10-10T10:05:00Z</dcterms:created>
  <dcterms:modified xsi:type="dcterms:W3CDTF">2023-10-31T09:03:00Z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0x0101007E190D54EF12794FA7C71C29FA8EFA85</vt:lpwstr>
  </property>
</Properties>
</file>